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683"/>
        <w:rPr>
          <w:rFonts w:ascii="Times New Roman"/>
          <w:sz w:val="72"/>
        </w:rPr>
      </w:pPr>
    </w:p>
    <w:p>
      <w:pPr>
        <w:spacing w:line="1288" w:lineRule="exact" w:before="0"/>
        <w:ind w:left="1159" w:right="0" w:firstLine="0"/>
        <w:jc w:val="left"/>
        <w:rPr>
          <w:rFonts w:ascii="Microsoft YaHei" w:eastAsia="Microsoft YaHei"/>
          <w:b/>
          <w:sz w:val="72"/>
        </w:rPr>
      </w:pPr>
      <w:r>
        <w:rPr>
          <w:rFonts w:ascii="Microsoft YaHei" w:eastAsia="Microsoft YaHei"/>
          <w:b/>
          <w:spacing w:val="-40"/>
          <w:sz w:val="72"/>
        </w:rPr>
        <w:t>上海市人民检察院第三分院</w:t>
      </w:r>
    </w:p>
    <w:p>
      <w:pPr>
        <w:spacing w:line="225" w:lineRule="auto" w:before="18"/>
        <w:ind w:left="3884" w:right="1117" w:hanging="2725"/>
        <w:jc w:val="left"/>
        <w:rPr>
          <w:rFonts w:ascii="Microsoft YaHei" w:eastAsia="Microsoft YaHei"/>
          <w:b/>
          <w:sz w:val="72"/>
        </w:rPr>
      </w:pPr>
      <w:r>
        <w:rPr>
          <w:rFonts w:ascii="Microsoft YaHei" w:eastAsia="Microsoft YaHei"/>
          <w:b/>
          <w:spacing w:val="-36"/>
          <w:sz w:val="72"/>
        </w:rPr>
        <w:t>（上海市人民检察院铁路运</w:t>
      </w:r>
      <w:r>
        <w:rPr>
          <w:rFonts w:ascii="Microsoft YaHei" w:eastAsia="Microsoft YaHei"/>
          <w:b/>
          <w:spacing w:val="-4"/>
          <w:sz w:val="72"/>
        </w:rPr>
        <w:t>输分院）</w:t>
      </w:r>
    </w:p>
    <w:p>
      <w:pPr>
        <w:spacing w:line="1271" w:lineRule="exact" w:before="0"/>
        <w:ind w:left="1092" w:right="0" w:firstLine="0"/>
        <w:jc w:val="left"/>
        <w:rPr>
          <w:rFonts w:ascii="Microsoft YaHei" w:eastAsia="Microsoft YaHei"/>
          <w:b/>
          <w:sz w:val="72"/>
        </w:rPr>
      </w:pPr>
      <w:r>
        <w:rPr>
          <w:rFonts w:ascii="Times New Roman" w:eastAsia="Times New Roman"/>
          <w:b/>
          <w:spacing w:val="-34"/>
          <w:sz w:val="72"/>
        </w:rPr>
        <w:t>2024</w:t>
      </w:r>
      <w:r>
        <w:rPr>
          <w:rFonts w:ascii="Times New Roman" w:eastAsia="Times New Roman"/>
          <w:b/>
          <w:spacing w:val="-43"/>
          <w:sz w:val="72"/>
        </w:rPr>
        <w:t> </w:t>
      </w:r>
      <w:r>
        <w:rPr>
          <w:rFonts w:ascii="Microsoft YaHei" w:eastAsia="Microsoft YaHei"/>
          <w:b/>
          <w:spacing w:val="-34"/>
          <w:sz w:val="72"/>
        </w:rPr>
        <w:t>年度国有资产管理情况</w:t>
      </w:r>
    </w:p>
    <w:p>
      <w:pPr>
        <w:spacing w:after="0" w:line="1271" w:lineRule="exact"/>
        <w:jc w:val="left"/>
        <w:rPr>
          <w:rFonts w:ascii="Microsoft YaHei" w:eastAsia="Microsoft YaHei"/>
          <w:b/>
          <w:sz w:val="72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9"/>
        <w:ind w:left="1092"/>
      </w:pPr>
      <w:r>
        <w:rPr>
          <w:spacing w:val="-2"/>
        </w:rPr>
        <w:t>一、资产负债情况表</w:t>
      </w:r>
    </w:p>
    <w:p>
      <w:pPr>
        <w:pStyle w:val="BodyText"/>
        <w:spacing w:before="47"/>
        <w:rPr>
          <w:sz w:val="20"/>
        </w:rPr>
      </w:pPr>
    </w:p>
    <w:p>
      <w:pPr>
        <w:spacing w:before="1"/>
        <w:ind w:left="0" w:right="214" w:firstLine="0"/>
        <w:jc w:val="right"/>
        <w:rPr>
          <w:sz w:val="20"/>
        </w:rPr>
      </w:pPr>
      <w:r>
        <w:rPr>
          <w:spacing w:val="-4"/>
          <w:sz w:val="20"/>
        </w:rPr>
        <w:t>单位：万元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3"/>
        <w:gridCol w:w="992"/>
        <w:gridCol w:w="993"/>
        <w:gridCol w:w="1136"/>
        <w:gridCol w:w="1071"/>
      </w:tblGrid>
      <w:tr>
        <w:trPr>
          <w:trHeight w:val="467" w:hRule="atLeast"/>
        </w:trPr>
        <w:tc>
          <w:tcPr>
            <w:tcW w:w="60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数量</w:t>
            </w:r>
          </w:p>
        </w:tc>
        <w:tc>
          <w:tcPr>
            <w:tcW w:w="2207" w:type="dxa"/>
            <w:gridSpan w:val="2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价值</w:t>
            </w:r>
          </w:p>
        </w:tc>
      </w:tr>
      <w:tr>
        <w:trPr>
          <w:trHeight w:val="467" w:hRule="atLeast"/>
        </w:trPr>
        <w:tc>
          <w:tcPr>
            <w:tcW w:w="6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年初数</w:t>
            </w:r>
          </w:p>
        </w:tc>
        <w:tc>
          <w:tcPr>
            <w:tcW w:w="993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年末数</w:t>
            </w:r>
          </w:p>
        </w:tc>
        <w:tc>
          <w:tcPr>
            <w:tcW w:w="1136" w:type="dxa"/>
          </w:tcPr>
          <w:p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年初数</w:t>
            </w:r>
          </w:p>
        </w:tc>
        <w:tc>
          <w:tcPr>
            <w:tcW w:w="1071" w:type="dxa"/>
          </w:tcPr>
          <w:p>
            <w:pPr>
              <w:pStyle w:val="TableParagraph"/>
              <w:ind w:left="23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年末数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一、资产合计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1,565.33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9,119.40</w:t>
            </w: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（一）</w:t>
            </w:r>
            <w:r>
              <w:rPr>
                <w:spacing w:val="-4"/>
                <w:sz w:val="20"/>
              </w:rPr>
              <w:t>流动资产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468.71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452.75</w:t>
            </w:r>
          </w:p>
        </w:tc>
      </w:tr>
      <w:tr>
        <w:trPr>
          <w:trHeight w:val="468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（二）</w:t>
            </w:r>
            <w:r>
              <w:rPr>
                <w:spacing w:val="-4"/>
                <w:sz w:val="20"/>
              </w:rPr>
              <w:t>固定资产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5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0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3,608.71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0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3,768.82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其中：</w:t>
            </w:r>
            <w:r>
              <w:rPr>
                <w:rFonts w:ascii="Times New Roman" w:eastAsia="Times New Roman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房屋（平方米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09"/>
              <w:jc w:val="lef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设备（个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台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辆等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2,322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2,379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3,172.45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3,332.56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32"/>
              <w:jc w:val="center"/>
              <w:rPr>
                <w:sz w:val="20"/>
              </w:rPr>
            </w:pPr>
            <w:r>
              <w:rPr>
                <w:spacing w:val="-38"/>
                <w:sz w:val="20"/>
              </w:rPr>
              <w:t>其中：</w:t>
            </w:r>
            <w:r>
              <w:rPr>
                <w:spacing w:val="11"/>
                <w:sz w:val="20"/>
              </w:rPr>
              <w:t>（</w:t>
            </w:r>
            <w:r>
              <w:rPr>
                <w:rFonts w:ascii="Times New Roman" w:eastAsia="Times New Roman"/>
                <w:spacing w:val="13"/>
                <w:sz w:val="20"/>
              </w:rPr>
              <w:t>1</w:t>
            </w:r>
            <w:r>
              <w:rPr>
                <w:spacing w:val="14"/>
                <w:sz w:val="20"/>
              </w:rPr>
              <w:t>）</w:t>
            </w:r>
            <w:r>
              <w:rPr>
                <w:spacing w:val="-12"/>
                <w:sz w:val="20"/>
              </w:rPr>
              <w:t>车辆（辆）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476.69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473.12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4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一般公务用车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34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执法执勤用车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206.68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203.11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4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特种专业技术用车</w:t>
            </w:r>
          </w:p>
        </w:tc>
        <w:tc>
          <w:tcPr>
            <w:tcW w:w="992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270.01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270.01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34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其他用车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18"/>
                <w:sz w:val="20"/>
              </w:rPr>
              <w:t>单价 </w:t>
            </w:r>
            <w:r>
              <w:rPr>
                <w:rFonts w:ascii="Times New Roman" w:eastAsia="Times New Roman"/>
                <w:spacing w:val="-2"/>
                <w:sz w:val="20"/>
              </w:rPr>
              <w:t>100</w:t>
            </w:r>
            <w:r>
              <w:rPr>
                <w:rFonts w:ascii="Times New Roman" w:eastAsia="Times New Roman"/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万元（含）以上设备（不含车辆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09"/>
              <w:jc w:val="lef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3.</w:t>
            </w:r>
            <w:r>
              <w:rPr>
                <w:spacing w:val="-4"/>
                <w:sz w:val="20"/>
              </w:rPr>
              <w:t>其他固定资产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90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减：固定资产累计折旧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3,242.45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3,106.65</w:t>
            </w:r>
          </w:p>
        </w:tc>
      </w:tr>
      <w:tr>
        <w:trPr>
          <w:trHeight w:val="469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（三）</w:t>
            </w:r>
            <w:r>
              <w:rPr>
                <w:spacing w:val="-4"/>
                <w:sz w:val="20"/>
              </w:rPr>
              <w:t>长期股权投资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（四）</w:t>
            </w:r>
            <w:r>
              <w:rPr>
                <w:spacing w:val="-4"/>
                <w:sz w:val="20"/>
              </w:rPr>
              <w:t>长期债券投资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（五）</w:t>
            </w:r>
            <w:r>
              <w:rPr>
                <w:spacing w:val="-4"/>
                <w:sz w:val="20"/>
              </w:rPr>
              <w:t>在建工程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（六）</w:t>
            </w:r>
            <w:r>
              <w:rPr>
                <w:spacing w:val="-4"/>
                <w:sz w:val="20"/>
              </w:rPr>
              <w:t>无形资产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5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170.06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0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297.87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90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减：无形资产累计摊销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34.01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127.55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（七）</w:t>
            </w:r>
            <w:r>
              <w:rPr>
                <w:spacing w:val="-4"/>
                <w:sz w:val="20"/>
              </w:rPr>
              <w:t>其他资产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二、负债合计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478.64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492.46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三、净资产合计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ind w:right="99"/>
              <w:rPr>
                <w:sz w:val="21"/>
              </w:rPr>
            </w:pPr>
            <w:r>
              <w:rPr>
                <w:spacing w:val="-2"/>
                <w:sz w:val="21"/>
              </w:rPr>
              <w:t>1,086.69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rPr>
                <w:sz w:val="21"/>
              </w:rPr>
            </w:pPr>
            <w:r>
              <w:rPr>
                <w:spacing w:val="-2"/>
                <w:sz w:val="21"/>
              </w:rPr>
              <w:t>8,626.91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footerReference w:type="default" r:id="rId5"/>
          <w:pgSz w:w="11910" w:h="16840"/>
          <w:pgMar w:header="0" w:footer="974" w:top="1500" w:bottom="1160" w:left="708" w:right="708"/>
          <w:pgNumType w:start="1"/>
        </w:sectPr>
      </w:pPr>
    </w:p>
    <w:p>
      <w:pPr>
        <w:pStyle w:val="BodyText"/>
        <w:spacing w:before="38"/>
        <w:ind w:left="1730"/>
      </w:pPr>
      <w:r>
        <w:rPr>
          <w:spacing w:val="-1"/>
        </w:rPr>
        <w:t>二、车辆、房屋特殊占用情况说明</w:t>
      </w:r>
    </w:p>
    <w:p>
      <w:pPr>
        <w:pStyle w:val="BodyText"/>
        <w:spacing w:before="187"/>
        <w:ind w:left="1730"/>
      </w:pPr>
      <w:r>
        <w:rPr/>
        <w:t>（一）</w:t>
      </w:r>
      <w:r>
        <w:rPr>
          <w:spacing w:val="-5"/>
        </w:rPr>
        <w:t>车辆</w:t>
      </w:r>
    </w:p>
    <w:p>
      <w:pPr>
        <w:pStyle w:val="BodyText"/>
        <w:spacing w:line="355" w:lineRule="auto" w:before="184"/>
        <w:ind w:left="1092" w:right="1089" w:firstLine="638"/>
        <w:jc w:val="both"/>
      </w:pPr>
      <w:r>
        <w:rPr>
          <w:rFonts w:ascii="Times New Roman" w:eastAsia="Times New Roman"/>
          <w:spacing w:val="-2"/>
        </w:rPr>
        <w:t>1.</w:t>
      </w:r>
      <w:r>
        <w:rPr>
          <w:rFonts w:ascii="Times New Roman" w:eastAsia="Times New Roman"/>
          <w:spacing w:val="-17"/>
        </w:rPr>
        <w:t> </w:t>
      </w:r>
      <w:r>
        <w:rPr>
          <w:spacing w:val="-14"/>
        </w:rPr>
        <w:t>截至 </w:t>
      </w:r>
      <w:r>
        <w:rPr>
          <w:rFonts w:ascii="Times New Roman" w:eastAsia="Times New Roman"/>
          <w:spacing w:val="-2"/>
        </w:rPr>
        <w:t>2024</w:t>
      </w:r>
      <w:r>
        <w:rPr>
          <w:rFonts w:ascii="Times New Roman" w:eastAsia="Times New Roman"/>
          <w:spacing w:val="-16"/>
        </w:rPr>
        <w:t> </w:t>
      </w:r>
      <w:r>
        <w:rPr>
          <w:spacing w:val="-19"/>
        </w:rPr>
        <w:t>年 </w:t>
      </w:r>
      <w:r>
        <w:rPr>
          <w:rFonts w:ascii="Times New Roman" w:eastAsia="Times New Roman"/>
          <w:spacing w:val="-2"/>
        </w:rPr>
        <w:t>12</w:t>
      </w:r>
      <w:r>
        <w:rPr>
          <w:rFonts w:ascii="Times New Roman" w:eastAsia="Times New Roman"/>
          <w:spacing w:val="-17"/>
        </w:rPr>
        <w:t> </w:t>
      </w:r>
      <w:r>
        <w:rPr>
          <w:spacing w:val="-19"/>
        </w:rPr>
        <w:t>月 </w:t>
      </w:r>
      <w:r>
        <w:rPr>
          <w:rFonts w:ascii="Times New Roman" w:eastAsia="Times New Roman"/>
          <w:spacing w:val="-2"/>
        </w:rPr>
        <w:t>31</w:t>
      </w:r>
      <w:r>
        <w:rPr>
          <w:rFonts w:ascii="Times New Roman" w:eastAsia="Times New Roman"/>
          <w:spacing w:val="-17"/>
        </w:rPr>
        <w:t> </w:t>
      </w:r>
      <w:r>
        <w:rPr>
          <w:spacing w:val="-27"/>
        </w:rPr>
        <w:t>日，上海市人民检察院第三分院</w:t>
      </w:r>
      <w:r>
        <w:rPr>
          <w:spacing w:val="-2"/>
        </w:rPr>
        <w:t>（上</w:t>
      </w:r>
      <w:r>
        <w:rPr>
          <w:spacing w:val="-4"/>
        </w:rPr>
        <w:t>海市人民检察院铁路运输分院）使用的一般公务用车中，由市机</w:t>
      </w:r>
      <w:r>
        <w:rPr>
          <w:spacing w:val="-1"/>
        </w:rPr>
        <w:t>关事务管理局统一实物保障的一般公务用车为 </w:t>
      </w:r>
      <w:r>
        <w:rPr>
          <w:rFonts w:ascii="Times New Roman" w:eastAsia="Times New Roman"/>
        </w:rPr>
        <w:t>4 </w:t>
      </w:r>
      <w:r>
        <w:rPr/>
        <w:t>辆。</w:t>
      </w:r>
    </w:p>
    <w:p>
      <w:pPr>
        <w:pStyle w:val="BodyText"/>
        <w:spacing w:before="5"/>
        <w:ind w:left="1730"/>
      </w:pPr>
      <w:r>
        <w:rPr/>
        <w:t>（二）</w:t>
      </w:r>
      <w:r>
        <w:rPr>
          <w:spacing w:val="-5"/>
        </w:rPr>
        <w:t>房屋</w:t>
      </w:r>
    </w:p>
    <w:p>
      <w:pPr>
        <w:pStyle w:val="BodyText"/>
        <w:spacing w:line="388" w:lineRule="auto" w:before="146"/>
        <w:ind w:left="1092" w:right="1090" w:firstLine="599"/>
      </w:pPr>
      <w:r>
        <w:rPr>
          <w:spacing w:val="-10"/>
        </w:rPr>
        <w:t>上海市人民检察院第三分院</w:t>
      </w:r>
      <w:r>
        <w:rPr>
          <w:spacing w:val="-2"/>
        </w:rPr>
        <w:t>（上海市人民检察院铁路运输分院）</w:t>
      </w:r>
      <w:r>
        <w:rPr>
          <w:rFonts w:ascii="Times New Roman" w:eastAsia="Times New Roman"/>
          <w:spacing w:val="-2"/>
        </w:rPr>
        <w:t>2024</w:t>
      </w:r>
      <w:r>
        <w:rPr>
          <w:spacing w:val="-2"/>
        </w:rPr>
        <w:t>年度无房屋特殊占用情况说明。</w:t>
      </w:r>
    </w:p>
    <w:sectPr>
      <w:pgSz w:w="11910" w:h="16840"/>
      <w:pgMar w:header="0" w:footer="974" w:top="1540" w:bottom="11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3713098</wp:posOffset>
              </wp:positionH>
              <wp:positionV relativeFrom="page">
                <wp:posOffset>9934066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369995pt;margin-top:782.209961pt;width:11.6pt;height:11pt;mso-position-horizontal-relative:page;mso-position-vertical-relative:page;z-index:-1592729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104"/>
      <w:jc w:val="right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2025-08-21T08:07:48Z</dcterms:created>
  <dcterms:modified xsi:type="dcterms:W3CDTF">2025-08-21T08:07:48Z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