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68" w:rsidRDefault="00544468" w:rsidP="00544468">
      <w:pPr>
        <w:pStyle w:val="a3"/>
        <w:shd w:val="clear" w:color="auto" w:fill="FFFFFF"/>
        <w:spacing w:after="360" w:afterAutospacing="0"/>
        <w:jc w:val="center"/>
        <w:rPr>
          <w:rFonts w:ascii="微软雅黑" w:eastAsia="微软雅黑" w:hAnsi="微软雅黑"/>
          <w:color w:val="333333"/>
        </w:rPr>
      </w:pPr>
      <w:r>
        <w:rPr>
          <w:rFonts w:ascii="微软雅黑" w:eastAsia="微软雅黑" w:hAnsi="微软雅黑" w:hint="eastAsia"/>
          <w:b/>
          <w:bCs/>
          <w:color w:val="333333"/>
        </w:rPr>
        <w:t>最高人民法院</w:t>
      </w:r>
      <w:r w:rsidR="002D516C">
        <w:rPr>
          <w:rFonts w:ascii="微软雅黑" w:eastAsia="微软雅黑" w:hAnsi="微软雅黑" w:hint="eastAsia"/>
          <w:b/>
          <w:bCs/>
          <w:color w:val="333333"/>
        </w:rPr>
        <w:t>、</w:t>
      </w:r>
      <w:r>
        <w:rPr>
          <w:rFonts w:ascii="微软雅黑" w:eastAsia="微软雅黑" w:hAnsi="微软雅黑" w:hint="eastAsia"/>
          <w:b/>
          <w:bCs/>
          <w:color w:val="333333"/>
        </w:rPr>
        <w:t>最高人民检察院</w:t>
      </w:r>
      <w:r w:rsidR="002D516C">
        <w:rPr>
          <w:rFonts w:ascii="微软雅黑" w:eastAsia="微软雅黑" w:hAnsi="微软雅黑" w:hint="eastAsia"/>
          <w:b/>
          <w:bCs/>
          <w:color w:val="333333"/>
        </w:rPr>
        <w:t>、</w:t>
      </w:r>
      <w:r>
        <w:rPr>
          <w:rFonts w:ascii="微软雅黑" w:eastAsia="微软雅黑" w:hAnsi="微软雅黑" w:hint="eastAsia"/>
          <w:b/>
          <w:bCs/>
          <w:color w:val="333333"/>
        </w:rPr>
        <w:t>公安部</w:t>
      </w:r>
      <w:r w:rsidR="002D516C">
        <w:rPr>
          <w:rFonts w:ascii="微软雅黑" w:eastAsia="微软雅黑" w:hAnsi="微软雅黑" w:hint="eastAsia"/>
          <w:b/>
          <w:bCs/>
          <w:color w:val="333333"/>
        </w:rPr>
        <w:t>、</w:t>
      </w:r>
      <w:r>
        <w:rPr>
          <w:rFonts w:ascii="微软雅黑" w:eastAsia="微软雅黑" w:hAnsi="微软雅黑" w:hint="eastAsia"/>
          <w:b/>
          <w:bCs/>
          <w:color w:val="333333"/>
        </w:rPr>
        <w:t>国家安全部</w:t>
      </w:r>
      <w:r w:rsidR="002D516C">
        <w:rPr>
          <w:rFonts w:ascii="微软雅黑" w:eastAsia="微软雅黑" w:hAnsi="微软雅黑" w:hint="eastAsia"/>
          <w:b/>
          <w:bCs/>
          <w:color w:val="333333"/>
        </w:rPr>
        <w:t>、司法部</w:t>
      </w:r>
      <w:r>
        <w:rPr>
          <w:rFonts w:ascii="微软雅黑" w:eastAsia="微软雅黑" w:hAnsi="微软雅黑" w:hint="eastAsia"/>
          <w:b/>
          <w:bCs/>
          <w:color w:val="333333"/>
        </w:rPr>
        <w:t>《关于适用认罪认罚从宽制度的指导意见》</w:t>
      </w:r>
      <w:r w:rsidR="002D516C">
        <w:rPr>
          <w:rFonts w:ascii="微软雅黑" w:eastAsia="微软雅黑" w:hAnsi="微软雅黑" w:hint="eastAsia"/>
          <w:b/>
          <w:bCs/>
          <w:color w:val="333333"/>
        </w:rPr>
        <w:t>2019年10月11日</w:t>
      </w:r>
    </w:p>
    <w:p w:rsidR="00544468" w:rsidRDefault="00544468" w:rsidP="00544468">
      <w:pPr>
        <w:pStyle w:val="a3"/>
        <w:shd w:val="clear" w:color="auto" w:fill="FFFFFF"/>
        <w:spacing w:after="360" w:afterAutospacing="0"/>
        <w:rPr>
          <w:rFonts w:ascii="微软雅黑" w:eastAsia="微软雅黑" w:hAnsi="微软雅黑"/>
          <w:color w:val="333333"/>
        </w:rPr>
      </w:pPr>
      <w:r>
        <w:rPr>
          <w:rFonts w:ascii="微软雅黑" w:eastAsia="微软雅黑" w:hAnsi="微软雅黑" w:hint="eastAsia"/>
          <w:color w:val="333333"/>
        </w:rPr>
        <w:t>各省、自治区、直辖市高级人民法院、人民检察院、公安厅（局）、国家安全厅（局）、司法厅（局），解放军军事法院、军事检察院，新疆维吾尔自治区高级人民法院生产建设兵团分院，新疆生产建设兵团人民检察院、公安局、国家安全局、司法局：</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为正确实施刑事诉讼法新规定，精准适用认罪认罚从宽制度，确保严格公正司法，推动国家治理体系和治理能力现代化，最高人民法院、最高人民检察院会同公安部、国家安全部、司法部制定了《关于适用认罪认罚从宽制度的指导意见》（以下简称《指导意见》），现予印发，请结合实际贯彻执行。具体工作要求通知如下：</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充分认识设立认罪认罚从宽制度的重大意义。认罪认罚从宽是2018年修改后刑事诉讼法规定的一项重要制度，是全面贯彻宽严相济刑事政策的重要举措。各级人民法院、人民检察院、公安机关、国家安全机关、司法行政机关要站在推动国家治理体系和治理能力现代化的高度，充分认识这项制度对及时有效惩治犯罪、加强人权司法保障、优化司法资源配置、提高刑事诉讼效率、化解社会矛盾纠纷、促进社会和谐稳定的重要意义，强化责任担当，敢于积极作为，深入推进制度贯彻实施，确保制度效用有效发挥。</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二、加强组织领导和业务指导。各级人民法院、人民检察院、公安机关、国家安全机关、司法行政机关要加强组织领导，将适用认罪认罚从宽制度作为重要</w:t>
      </w:r>
      <w:r>
        <w:rPr>
          <w:rFonts w:ascii="微软雅黑" w:eastAsia="微软雅黑" w:hAnsi="微软雅黑" w:hint="eastAsia"/>
          <w:color w:val="333333"/>
        </w:rPr>
        <w:lastRenderedPageBreak/>
        <w:t>工作来落实，紧密结合本地实际，根据《指导意见》研究制定实施方案或实施细则，分别层报最高人民法院、最高人民检察院、公安部、国家安全部、司法部备案。要加强对刑事诉讼法有关规定和《指导意见》等规范性文件的学习和培训，明确工作原则和要求，统一思想认识，提高办理认罪认罚案件的能力。要加强业务指导，深入开展调查研究，及时掌握本地区推进情况，确保工作规范有序开展。</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加强协调配合。认罪认罚从宽制度涉及侦查、批捕、起诉、审判等各个诉讼环节，涉及人民法院、人民检察院、公安机关、国家安全机关、司法行政机关等多个部门。各级人民法院、人民检察院、公安机关、国家安全机关、司法行政机关在分工负责、各司其职的基础上，要加强沟通、协调和配合，建立绿色通道、专人联络、定期通报、联席会议等制度，及时研究解决实践中出现的问题，形成贯彻实施合力。对法律援助机构人员紧缺、经费保障困难等问题，司法行政机关要积极争取党委和政府支持，将值班律师补贴纳入法律援助业务经费开支范围并合理确定补贴标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加强监督制约。加强监督制约是确保认罪认罚从宽制度正确适用和公正运行，防止产生“权权交易”、“权钱交易”等司法腐败问题的重要手段。各级人民法院、人民检察院、公安机关、国家安全机关、司法行政机关要健全监督制约机制，切实防范认罪认罚从宽制度适用中可能产生的廉政风险，筑牢不能腐、不敢腐的制度篱笆。要加强对认罪认罚案件办理情况的监督，将具有从宽幅度较大、程序互相转换、认罪认罚后又反悔、社会关注度高、群众有反映等情形的案件作为监督评查的重点，促进提升案件质量和效果，确保制度统一正确适用。</w:t>
      </w:r>
    </w:p>
    <w:p w:rsidR="00544468" w:rsidRDefault="00544468" w:rsidP="00544468">
      <w:pPr>
        <w:pStyle w:val="a3"/>
        <w:shd w:val="clear" w:color="auto" w:fill="FFFFFF"/>
        <w:spacing w:after="360" w:afterAutospacing="0"/>
        <w:jc w:val="right"/>
        <w:rPr>
          <w:rFonts w:ascii="微软雅黑" w:eastAsia="微软雅黑" w:hAnsi="微软雅黑"/>
          <w:color w:val="333333"/>
        </w:rPr>
      </w:pPr>
      <w:r>
        <w:rPr>
          <w:rFonts w:ascii="微软雅黑" w:eastAsia="微软雅黑" w:hAnsi="微软雅黑" w:hint="eastAsia"/>
          <w:b/>
          <w:bCs/>
          <w:color w:val="333333"/>
        </w:rPr>
        <w:lastRenderedPageBreak/>
        <w:t>最高人民法院</w:t>
      </w:r>
      <w:r>
        <w:rPr>
          <w:rFonts w:ascii="微软雅黑" w:eastAsia="微软雅黑" w:hAnsi="微软雅黑" w:hint="eastAsia"/>
          <w:b/>
          <w:bCs/>
          <w:color w:val="333333"/>
        </w:rPr>
        <w:t> </w:t>
      </w:r>
      <w:r>
        <w:rPr>
          <w:rFonts w:ascii="微软雅黑" w:eastAsia="微软雅黑" w:hAnsi="微软雅黑" w:hint="eastAsia"/>
          <w:b/>
          <w:bCs/>
          <w:color w:val="333333"/>
        </w:rPr>
        <w:t>最高人民检察院</w:t>
      </w:r>
    </w:p>
    <w:p w:rsidR="00544468" w:rsidRDefault="00544468" w:rsidP="00544468">
      <w:pPr>
        <w:pStyle w:val="a3"/>
        <w:shd w:val="clear" w:color="auto" w:fill="FFFFFF"/>
        <w:spacing w:after="360" w:afterAutospacing="0"/>
        <w:jc w:val="right"/>
        <w:rPr>
          <w:rFonts w:ascii="微软雅黑" w:eastAsia="微软雅黑" w:hAnsi="微软雅黑"/>
          <w:color w:val="333333"/>
        </w:rPr>
      </w:pPr>
      <w:r>
        <w:rPr>
          <w:rFonts w:ascii="微软雅黑" w:eastAsia="微软雅黑" w:hAnsi="微软雅黑" w:hint="eastAsia"/>
          <w:b/>
          <w:bCs/>
          <w:color w:val="333333"/>
        </w:rPr>
        <w:t>公安部</w:t>
      </w:r>
      <w:r>
        <w:rPr>
          <w:rFonts w:ascii="微软雅黑" w:eastAsia="微软雅黑" w:hAnsi="微软雅黑" w:hint="eastAsia"/>
          <w:b/>
          <w:bCs/>
          <w:color w:val="333333"/>
        </w:rPr>
        <w:t> </w:t>
      </w:r>
      <w:r>
        <w:rPr>
          <w:rFonts w:ascii="微软雅黑" w:eastAsia="微软雅黑" w:hAnsi="微软雅黑" w:hint="eastAsia"/>
          <w:b/>
          <w:bCs/>
          <w:color w:val="333333"/>
        </w:rPr>
        <w:t>国家安全部</w:t>
      </w:r>
    </w:p>
    <w:p w:rsidR="00544468" w:rsidRDefault="00544468" w:rsidP="00544468">
      <w:pPr>
        <w:pStyle w:val="a3"/>
        <w:shd w:val="clear" w:color="auto" w:fill="FFFFFF"/>
        <w:spacing w:after="360" w:afterAutospacing="0"/>
        <w:jc w:val="right"/>
        <w:rPr>
          <w:rFonts w:ascii="微软雅黑" w:eastAsia="微软雅黑" w:hAnsi="微软雅黑"/>
          <w:color w:val="333333"/>
        </w:rPr>
      </w:pPr>
      <w:r>
        <w:rPr>
          <w:rFonts w:ascii="微软雅黑" w:eastAsia="微软雅黑" w:hAnsi="微软雅黑" w:hint="eastAsia"/>
          <w:b/>
          <w:bCs/>
          <w:color w:val="333333"/>
        </w:rPr>
        <w:t>司法部</w:t>
      </w:r>
    </w:p>
    <w:p w:rsidR="00544468" w:rsidRDefault="00544468" w:rsidP="00544468">
      <w:pPr>
        <w:pStyle w:val="a3"/>
        <w:shd w:val="clear" w:color="auto" w:fill="FFFFFF"/>
        <w:spacing w:after="360" w:afterAutospacing="0"/>
        <w:jc w:val="right"/>
        <w:rPr>
          <w:rFonts w:ascii="微软雅黑" w:eastAsia="微软雅黑" w:hAnsi="微软雅黑"/>
          <w:color w:val="333333"/>
        </w:rPr>
      </w:pPr>
      <w:r>
        <w:rPr>
          <w:rFonts w:ascii="微软雅黑" w:eastAsia="微软雅黑" w:hAnsi="微软雅黑" w:hint="eastAsia"/>
          <w:b/>
          <w:bCs/>
          <w:color w:val="333333"/>
        </w:rPr>
        <w:t>2019年10月11日</w:t>
      </w:r>
    </w:p>
    <w:p w:rsidR="00544468" w:rsidRDefault="00544468" w:rsidP="00544468">
      <w:pPr>
        <w:pStyle w:val="a3"/>
        <w:shd w:val="clear" w:color="auto" w:fill="FFFFFF"/>
        <w:spacing w:after="360" w:afterAutospacing="0"/>
        <w:jc w:val="center"/>
        <w:rPr>
          <w:rFonts w:ascii="微软雅黑" w:eastAsia="微软雅黑" w:hAnsi="微软雅黑"/>
          <w:color w:val="333333"/>
        </w:rPr>
      </w:pPr>
      <w:r>
        <w:rPr>
          <w:rFonts w:ascii="微软雅黑" w:eastAsia="微软雅黑" w:hAnsi="微软雅黑" w:hint="eastAsia"/>
          <w:b/>
          <w:bCs/>
          <w:color w:val="333333"/>
        </w:rPr>
        <w:t>最高人民法院</w:t>
      </w:r>
      <w:r>
        <w:rPr>
          <w:rFonts w:ascii="微软雅黑" w:eastAsia="微软雅黑" w:hAnsi="微软雅黑" w:hint="eastAsia"/>
          <w:b/>
          <w:bCs/>
          <w:color w:val="333333"/>
        </w:rPr>
        <w:t> </w:t>
      </w:r>
      <w:r>
        <w:rPr>
          <w:rFonts w:ascii="微软雅黑" w:eastAsia="微软雅黑" w:hAnsi="微软雅黑" w:hint="eastAsia"/>
          <w:b/>
          <w:bCs/>
          <w:color w:val="333333"/>
        </w:rPr>
        <w:t>最高人民检察院</w:t>
      </w:r>
      <w:r>
        <w:rPr>
          <w:rFonts w:ascii="微软雅黑" w:eastAsia="微软雅黑" w:hAnsi="微软雅黑" w:hint="eastAsia"/>
          <w:b/>
          <w:bCs/>
          <w:color w:val="333333"/>
        </w:rPr>
        <w:t> </w:t>
      </w:r>
      <w:r>
        <w:rPr>
          <w:rFonts w:ascii="微软雅黑" w:eastAsia="微软雅黑" w:hAnsi="微软雅黑" w:hint="eastAsia"/>
          <w:b/>
          <w:bCs/>
          <w:color w:val="333333"/>
        </w:rPr>
        <w:t>公安部</w:t>
      </w:r>
      <w:r>
        <w:rPr>
          <w:rFonts w:ascii="微软雅黑" w:eastAsia="微软雅黑" w:hAnsi="微软雅黑" w:hint="eastAsia"/>
          <w:b/>
          <w:bCs/>
          <w:color w:val="333333"/>
        </w:rPr>
        <w:t> </w:t>
      </w:r>
      <w:r>
        <w:rPr>
          <w:rFonts w:ascii="微软雅黑" w:eastAsia="微软雅黑" w:hAnsi="微软雅黑" w:hint="eastAsia"/>
          <w:b/>
          <w:bCs/>
          <w:color w:val="333333"/>
        </w:rPr>
        <w:t>国家安全部</w:t>
      </w:r>
      <w:r>
        <w:rPr>
          <w:rFonts w:ascii="微软雅黑" w:eastAsia="微软雅黑" w:hAnsi="微软雅黑" w:hint="eastAsia"/>
          <w:b/>
          <w:bCs/>
          <w:color w:val="333333"/>
        </w:rPr>
        <w:t> </w:t>
      </w:r>
      <w:r>
        <w:rPr>
          <w:rFonts w:ascii="微软雅黑" w:eastAsia="微软雅黑" w:hAnsi="微软雅黑" w:hint="eastAsia"/>
          <w:b/>
          <w:bCs/>
          <w:color w:val="333333"/>
        </w:rPr>
        <w:t>司法部</w:t>
      </w:r>
    </w:p>
    <w:p w:rsidR="00544468" w:rsidRDefault="00544468" w:rsidP="00544468">
      <w:pPr>
        <w:pStyle w:val="a3"/>
        <w:shd w:val="clear" w:color="auto" w:fill="FFFFFF"/>
        <w:spacing w:after="360" w:afterAutospacing="0"/>
        <w:jc w:val="center"/>
        <w:rPr>
          <w:rFonts w:ascii="微软雅黑" w:eastAsia="微软雅黑" w:hAnsi="微软雅黑"/>
          <w:color w:val="333333"/>
        </w:rPr>
      </w:pPr>
      <w:r>
        <w:rPr>
          <w:rFonts w:ascii="微软雅黑" w:eastAsia="微软雅黑" w:hAnsi="微软雅黑" w:hint="eastAsia"/>
          <w:b/>
          <w:bCs/>
          <w:color w:val="333333"/>
        </w:rPr>
        <w:t>关于适用认罪认罚从宽制度的指导意见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适用认罪认罚从宽制度，对准确及时惩罚犯罪、强化人权司法保障、推动刑事案件繁简分流、节约司法资源、化解社会矛盾、推动国家治理体系和治理能力现代化，具有重要意义。为贯彻落实修改后刑事诉讼法，确保认罪认罚从宽制度正确有效实施，根据法律和有关规定，结合司法工作实际，制定本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一、基本原则</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贯彻宽严相济刑事政策。落实认罪认罚从宽制度，应当根据犯罪的具体情况，区分案件性质、情节和对社会的危害程度，实行区别对待，做到该宽则宽，当严则严，宽严相济，罚当其罪。对可能判处三年有期徒刑以下刑罚的认罪认罚案件，要尽量依法从简从快从宽办理，探索相适应的处理原则和办案方式；对因民间矛盾引发的犯罪，犯罪嫌疑人、被告人自愿认罪、真诚悔罪并取得谅解、达成和解、尚未严重影响人民群众安全感的，要积极适用认罪认罚从宽制度，特别</w:t>
      </w:r>
      <w:r>
        <w:rPr>
          <w:rFonts w:ascii="微软雅黑" w:eastAsia="微软雅黑" w:hAnsi="微软雅黑" w:hint="eastAsia"/>
          <w:color w:val="333333"/>
        </w:rPr>
        <w:lastRenderedPageBreak/>
        <w:t>是对其中社会危害不大的初犯、偶犯、过失犯、未成年犯，一般应当体现从宽；对严重危害国家安全、公共安全犯罪，严重暴力犯罪，以及社会普遍关注的重大敏感案件，应当慎重把握从宽，避免案件处理明显违背人民群众的公平正义观念。</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坚持罪责刑相适应原则。办理认罪认罚案件，既要考虑体现认罪认罚从宽，又要考虑其所犯罪行的轻重、应负刑事责任和人身危险性的大小，依照法律规定提出量刑建议，准确裁量刑罚，确保罚当其罪，避免罪刑失衡。特别是对于共同犯罪案件，主犯认罪认罚，从犯不认罪认罚的，人民法院、人民检察院应当注意两者之间的量刑平衡，防止因量刑失当严重偏离一般的司法认知。</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坚持证据裁判原则。办理认罪认罚案件，应当以事实为根据，以法律为准绳，严格按照证据裁判要求，全面收集、固定、审查和认定证据。坚持法定证明标准，侦查终结、提起公诉、作出有罪裁判应当做到犯罪事实清楚，证据确实、充分，防止因犯罪嫌疑人、被告人认罪而降低证据要求和证明标准。对犯罪嫌疑人、被告人认罪认罚，但证据不足，不能认定其有罪的，依法作出撤销案件、不起诉决定或者宣告无罪。</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坚持公检法三机关配合制约原则。办理认罪认罚案件，公、检、法三机关应当分工负责、互相配合、互相制约，保证犯罪嫌疑人、被告人自愿认罪认罚，依法推进从宽落实。要严格执法、公正司法，强化对自身执法司法办案活动的监督，防止产生“权权交易”、“权钱交易”等司法腐败问题。</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二、适用范围和适用条件</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5．适用阶段和适用案件范围。认罪认罚从宽制度贯穿刑事诉讼全过程，适用于侦查、起诉、审判各个阶段。</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认罪认罚从宽制度没有适用罪名和可能判处刑罚的限定，所有刑事案件都可以适用，不能因罪轻、罪重或者罪名特殊等原因而剥夺犯罪嫌疑人、被告人自愿认罪认罚获得从宽处理的机会。但“可以”适用不是一律适用，犯罪嫌疑人、被告人认罪认罚后是否从宽，由司法机关根据案件具体情况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6．“认罪”的把握。认罪认罚从宽制度中的“认罪”，是指犯罪嫌疑人、被告人自愿如实供述自己的罪行，对指控的犯罪事实没有异议。承认指控的主要犯罪事实，仅对个别事实情节提出异议，或者虽然对行为性质提出辩解但表示接受司法机关认定意见的，不影响“认罪”的认定。犯罪嫌疑人、被告人犯数罪，仅如实供述其中一罪或部分罪名事实的，全案不作“认罪”的认定，不适用认罪认罚从宽制度，但对如实供述的部分，人民检察院可以提出从宽处罚的建议，人民法院可以从宽处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7．“认罚”的把握。认罪认罚从宽制度中的“认罚”，是指犯罪嫌疑人、被告人真诚悔罪，愿意接受处罚。“认罚”，在侦查阶段表现为表示愿意接受处罚；在审查起诉阶段表现为接受人民检察院拟作出的起诉或不起诉决定，认可人民检察院的量刑建议，签署认罪认罚具结书；在审判阶段表现为当庭确认自愿签署具结书，愿意接受刑罚处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“认罚”考察的重点是犯罪嫌疑人、被告人的悔罪态度和悔罪表现，应当结合退赃退赔、赔偿损失、赔礼道歉等因素来考量。犯罪嫌疑人、被告人虽然表示</w:t>
      </w:r>
      <w:r>
        <w:rPr>
          <w:rFonts w:ascii="微软雅黑" w:eastAsia="微软雅黑" w:hAnsi="微软雅黑" w:hint="eastAsia"/>
          <w:color w:val="333333"/>
        </w:rPr>
        <w:lastRenderedPageBreak/>
        <w:t>“认罚”，却暗中串供、干扰证人作证、毁灭、伪造证据或者隐匿、转移财产，有赔偿能力而不赔偿损失，则不能适用认罪认罚从宽制度。犯罪嫌疑人、被告人享有程序选择权，不同意适用速裁程序、简易程序的，不影响“认罚”的认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三、认罪认罚后“从宽”的把握</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8．“从宽”的理解。从宽处理既包括实体上从宽处罚，也包括程序上从简处理。“可以从宽”，是指一般应当体现法律规定和政策精神，予以从宽处理。但可以从宽不是一律从宽，对犯罪性质和危害后果特别严重、犯罪手段特别残忍、社会影响特别恶劣的犯罪嫌疑人、被告人，认罪认罚不足以从轻处罚的，依法不予从宽处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办理认罪认罚案件，应当依照刑法、刑事诉讼法的基本原则，根据犯罪的事实、性质、情节和对社会的危害程度，结合法定、酌定的量刑情节，综合考虑认罪认罚的具体情况，依法决定是否从宽、如何从宽。对于减轻、免除处罚，应当于法有据；不具备减轻处罚情节的，应当在法定幅度以内提出从轻处罚的量刑建议和量刑；对其中犯罪情节轻微不需要判处刑罚的，可以依法作出不起诉决定或者判决免予刑事处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9．从宽幅度的把握。办理认罪认罚案件，应当区别认罪认罚的不同诉讼阶段、对查明案件事实的价值和意义、是否确有悔罪表现，以及罪行严重程度等，综合考量确定从宽的限度和幅度。在刑罚评价上，主动认罪优于被动认罪，早认罪优于晚认罪，彻底认罪优于不彻底认罪，稳定认罪优于不稳定认罪。</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认罪认罚的从宽幅度一般应当大于仅有坦白，或者虽认罪但不认罚的从宽幅度。对犯罪嫌疑人、被告人具有自首、坦白情节，同时认罪认罚的，应当在法定刑幅度内给予相对更大的从宽幅度。认罪认罚与自首、坦白不作重复评价。</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对罪行较轻、人身危险性较小的，特别是初犯、偶犯，从宽幅度可以大一些；罪行较重、人身危险性较大的，以及累犯、再犯，从宽幅度应当从严把握。</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四、犯罪嫌疑人、被告人辩护权保障</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10．获得法律帮助权。人民法院、人民检察院、公安机关办理认罪认罚案件，应当保障犯罪嫌疑人、被告人获得有效法律帮助，确保其了解认罪认罚的性质和法律后果，自愿认罪认罚。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犯罪嫌疑人、被告人自愿认罪认罚，没有辩护人的，人民法院、人民检察院、公安机关（看守所）应当通知值班律师为其提供法律咨询、程序选择建议、申请变更强制措施等法律帮助。符合通知辩护条件的，应当依法通知法律援助机构指派律师为其提供辩护。</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人民法院、人民检察院、公安机关（看守所）应当告知犯罪嫌疑人、被告人有权约见值班律师，获得法律帮助，并为其约见值班律师提供便利。犯罪嫌疑人、被告人及其近亲属提出法律帮助请求的，人民法院、人民检察院、公安机关（看守所）应当通知值班律师为其提供法律帮助。</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11．派驻值班律师。法律援助机构可以在人民法院、人民检察院、看守所派驻值班律师。人民法院、人民检察院、看守所应当为派驻值班律师提供必要办公场所和设施。</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法律援助机构应当根据人民法院、人民检察院、看守所的法律帮助需求和当地法律服务资源，合理安排值班律师。值班律师可以定期值班或轮流值班，律师资源短缺的地区可以通过探索现场值班和电话、网络值班相结合，在人民法院、人民检察院毗邻设置联合工作站，省内和市内统筹调配律师资源，以及建立政府购买值班律师服务机制等方式，保障法律援助值班律师工作有序开展。</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12．值班律师的职责。值班律师应当维护犯罪嫌疑人、被告人的合法权益，确保犯罪嫌疑人、被告人在充分了解认罪认罚性质和法律后果的情况下，自愿认罪认罚。值班律师应当为认罪认罚的犯罪嫌疑人、被告人提供下列法律帮助：</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（一）提供法律咨询，包括告知涉嫌或指控的罪名、相关法律规定，认罪认罚的性质和法律后果等；</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（二）提出程序适用的建议；</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（三）帮助申请变更强制措施；</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（四）对人民检察院认定罪名、量刑建议提出意见；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（五）就案件处理，向人民法院、人民检察院、公安机关提出意见；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（六）引导、帮助犯罪嫌疑人、被告人及其近亲属申请法律援助；</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（七）法律法规规定的其他事项。</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值班律师可以会见犯罪嫌疑人、被告人，看守所应当为值班律师会见提供便利。危害国家安全犯罪、恐怖活动犯罪案件，侦查期间值班律师会见在押犯罪嫌疑人的，应当经侦查机关许可。自人民检察院对案件审查起诉之日起，值班律师可以查阅案卷材料、了解案情。人民法院、人民检察院应当为值班律师查阅案卷材料提供便利。</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值班律师提供法律咨询、查阅案卷材料、会见犯罪嫌疑人或者被告人、提出书面意见等法律帮助活动的相关情况应当记录在案，并随案移送。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13．法律帮助的衔接。对于被羁押的犯罪嫌疑人、被告人，在不同诉讼阶段，可以由派驻看守所的同一值班律师提供法律帮助。对于未被羁押的犯罪嫌疑人、被告人，前一诉讼阶段的值班律师可以在后续诉讼阶段继续为犯罪嫌疑人、被告人提供法律帮助。</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14．拒绝法律帮助的处理。犯罪嫌疑人、被告人自愿认罪认罚，没有委托辩护人，拒绝值班律师帮助的，人民法院、人民检察院、公安机关应当允许，记录在案并随案移送。但是审查起诉阶段签署认罪认罚具结书时，人民检察院应当通知值班律师到场。</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15．辩护人职责。认罪认罚案件犯罪嫌疑人、被告人委托辩护人或者法律援助机构指派律师为其辩护的，辩护律师在侦查、审查起诉和审判阶段，应当与</w:t>
      </w:r>
      <w:r>
        <w:rPr>
          <w:rFonts w:ascii="微软雅黑" w:eastAsia="微软雅黑" w:hAnsi="微软雅黑" w:hint="eastAsia"/>
          <w:color w:val="333333"/>
        </w:rPr>
        <w:lastRenderedPageBreak/>
        <w:t>犯罪嫌疑人、被告人就是否认罪认罚进行沟通，提供法律咨询和帮助，并就定罪量刑、诉讼程序适用等向办案机关提出意见。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五、被害方权益保障</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16．听取意见。办理认罪认罚案件，应当听取被害人及其诉讼代理人的意见，并将犯罪嫌疑人、被告人是否与被害方达成和解协议、调解协议或者赔偿被害方损失，取得被害方谅解，作为从宽处罚的重要考虑因素。人民检察院、公安机关听取意见情况应当记录在案并随案移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17．促进和解谅解。对符合当事人和解程序适用条件的公诉案件，犯罪嫌疑人、被告人认罪认罚的，人民法院、人民检察院、公安机关应当积极促进当事人自愿达成和解。对其他认罪认罚案件，人民法院、人民检察院、公安机关可以促进犯罪嫌疑人、被告人通过向被害方赔偿损失、赔礼道歉等方式获得谅解，被害方出具的谅解意见应当随案移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人民法院、人民检察院、公安机关在促进当事人和解谅解过程中，应当向被害方释明认罪认罚从宽、公诉案件当事人和解适用程序等具体法律规定，充分听取被害方意见，符合司法救助条件的，应当积极协调办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18．被害方异议的处理。被害人及其诉讼代理人不同意对认罪认罚的犯罪嫌疑人、被告人从宽处理的，不影响认罪认罚从宽制度的适用。犯罪嫌疑人、被告人认罪认罚，但没有退赃退赔、赔偿损失，未能与被害方达成调解或者和解协议的，从宽时应当予以酌减。犯罪嫌疑人、被告人自愿认罪并且愿意积极赔偿损</w:t>
      </w:r>
      <w:r>
        <w:rPr>
          <w:rFonts w:ascii="微软雅黑" w:eastAsia="微软雅黑" w:hAnsi="微软雅黑" w:hint="eastAsia"/>
          <w:color w:val="333333"/>
        </w:rPr>
        <w:lastRenderedPageBreak/>
        <w:t>失，但由于被害方赔偿请求明显不合理，未能达成调解或者和解协议的，一般不影响对犯罪嫌疑人、被告人从宽处理。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六、强制措施的适用</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19．社会危险性评估。人民法院、人民检察院、公安机关应当将犯罪嫌疑人、被告人认罪认罚作为其是否具有社会危险性的重要考虑因素。对于罪行较轻、采用非羁押性强制措施足以防止发生刑事诉讼法第八十一条第一款规定的社会危险性的犯罪嫌疑人、被告人，根据犯罪性质及可能判处的刑罚，依法可不适用羁押性强制措施。</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20．逮捕的适用。犯罪嫌疑人认罪认罚，公安机关认为罪行较轻、没有社会危险性的，应当不再提请人民检察院审查逮捕。对提请逮捕的，人民检察院认为没有社会危险性不需要逮捕的，应当作出不批准逮捕的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21．逮捕的变更。已经逮捕的犯罪嫌疑人、被告人认罪认罚的，人民法院、人民检察院应当及时审查羁押的必要性，经审查认为没有继续羁押必要的，应当变更为取保候审或者监视居住。</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七、侦查机关的职责</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22．权利告知和听取意见。公安机关在侦查过程中，应当告知犯罪嫌疑人享有的诉讼权利、如实供述罪行可以从宽处理和认罪认罚的法律规定，听取犯罪嫌疑人及其辩护人或者值班律师的意见，记录在案并随案移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对在非讯问时间、办案人员不在场情况下，犯罪嫌疑人向看守所工作人员或者辩护人、值班律师表示愿意认罪认罚的，有关人员应当及时告知办案单位。</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23．认罪教育。公安机关在侦查阶段应当同步开展认罪教育工作，但不得强迫犯罪嫌疑人认罪，不得作出具体的从宽承诺。犯罪嫌疑人自愿认罪，愿意接受司法机关处罚的，应当记录在案并附卷。</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24．起诉意见。对移送审查起诉的案件，公安机关应当在起诉意见书中写明犯罪嫌疑人自愿认罪认罚情况。认为案件符合速裁程序适用条件的，可以在起诉意见书中建议人民检察院适用速裁程序办理，并简要说明理由。</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对可能适用速裁程序的案件，公安机关应当快速办理，对犯罪嫌疑人未被羁押的，可以集中移送审查起诉，但不得为集中移送拖延案件办理。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对人民检察院在审查逮捕期间或者重大案件听取意见中提出的开展认罪认罚工作的意见或建议，公安机关应当认真听取，积极开展相关工作。</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25．执法办案管理中心建设。加快推进公安机关执法办案管理中心建设，探索在执法办案管理中心设置速裁法庭，对适用速裁程序的案件进行快速办理。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八、审查起诉阶段人民检察院的职责</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26．权利告知。案件移送审查起诉后，人民检察院应当告知犯罪嫌疑人享有的诉讼权利和认罪认罚的法律规定，保障犯罪嫌疑人的程序选择权。告知应当采取书面形式，必要时应当充分释明。</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27．听取意见。犯罪嫌疑人认罪认罚的，人民检察院应当就下列事项听取犯罪嫌疑人、辩护人或者值班律师的意见，记录在案并附卷：</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（一）涉嫌的犯罪事实、罪名及适用的法律规定；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（二）从轻、减轻或者免除处罚等从宽处罚的建议；</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（三）认罪认罚后案件审理适用的程序；</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（四）其他需要听取意见的情形。</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人民检察院未采纳辩护人、值班律师意见的，应当说明理由。</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28．自愿性、合法性审查。对侦查阶段认罪认罚的案件，人民检察院应当重点审查以下内容：</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（一）犯罪嫌疑人是否自愿认罪认罚，有无因受到暴力、威胁、引诱而违背意愿认罪认罚；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（二）犯罪嫌疑人认罪认罚时的认知能力和精神状态是否正常；</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（三）犯罪嫌疑人是否理解认罪认罚的性质和可能导致的法律后果；</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（四）侦查机关是否告知犯罪嫌疑人享有的诉讼权利，如实供述自己罪行可以从宽处理和认罪认罚的法律规定，并听取意见；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（五）起诉意见书中是否写明犯罪嫌疑人认罪认罚情况；</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（六）犯罪嫌疑人是否真诚悔罪，是否向被害人赔礼道歉。</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经审查，犯罪嫌疑人违背意愿认罪认罚的，人民检察院可以重新开展认罪认罚工作。存在刑讯逼供等非法取证行为的，依照法律规定处理。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29．证据开示。人民检察院可以针对案件具体情况，探索证据开示制度，保障犯罪嫌疑人的知情权和认罪认罚的真实性及自愿性。</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30．不起诉的适用。完善起诉裁量权，充分发挥不起诉的审前分流和过滤作用，逐步扩大相对不起诉在认罪认罚案件中的适用。对认罪认罚后没有争议，不需要判处刑罚的轻微刑事案件，人民检察院可以依法作出不起诉决定。人民检察院应当加强对案件量刑的预判，对其中可能判处免刑的轻微刑事案件，可以依法作出不起诉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对认罪认罚后案件事实不清、证据不足的案件，应当依法作出不起诉决定。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31．签署具结书。犯罪嫌疑人自愿认罪，同意量刑建议和程序适用的，应当在辩护人或者值班律师在场的情况下签署认罪认罚具结书。犯罪嫌疑人被羁押的，看守所应当为签署具结书提供场所。具结书应当包括犯罪嫌疑人如实供述罪行、同意量刑建议、程序适用等内容，由犯罪嫌疑人、辩护人或者值班律师签名。</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犯罪嫌疑人认罪认罚，有下列情形之一的，不需要签署认罪认罚具结书：</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（一）犯罪嫌疑人是盲、聋、哑人，或者是尚未完全丧失辨认或者控制自己行为能力的精神病人的；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（二）未成年犯罪嫌疑人的法定代理人、辩护人对未成年人认罪认罚有异议的；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（三）其他不需要签署认罪认罚具结书的情形。</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上述情形犯罪嫌疑人未签署认罪认罚具结书的，不影响认罪认罚从宽制度的适用。</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32．提起公诉。人民检察院向人民法院提起公诉的，应当在起诉书中写明被告人认罪认罚情况，提出量刑建议，并移送认罪认罚具结书等材料。量刑建议书可以另行制作，也可以在起诉书中写明。</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33．量刑建议的提出。犯罪嫌疑人认罪认罚的，人民检察院应当就主刑、附加刑、是否适用缓刑等提出量刑建议。人民检察院提出量刑建议前，应当充分听取犯罪嫌疑人、辩护人或者值班律师的意见，尽量协商一致。</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办理认罪认罚案件，人民检察院一般应当提出确定刑量刑建议。对新类型、不常见犯罪案件，量刑情节复杂的重罪案件等，也可以提出幅度刑量刑建议。提出量刑建议，应当说明理由和依据。</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犯罪嫌疑人认罪认罚没有其他法定量刑情节的，人民检察院可以根据犯罪的事实、性质等，在基准刑基础上适当减让提出确定刑量刑建议。有其他法定量刑情节的，人民检察院应当综合认罪认罚和其他法定量刑情节，参照相关量刑规范提出确定刑量刑建议。</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犯罪嫌疑人在侦查阶段认罪认罚的，主刑从宽的幅度可以在前款基础上适当放宽；被告人在审判阶段认罪认罚的，在前款基础上可以适当缩减。建议判处罚金刑的，参照主刑的从宽幅度提出确定的数额。</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34．速裁程序的办案期限。犯罪嫌疑人认罪认罚，人民检察院经审查，认为符合速裁程序适用条件的，应当在十日以内作出是否提起公诉的决定；对可能判处的有期徒刑超过一年的，可以在十五日以内作出是否提起公诉的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九、社会调查评估</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35．侦查阶段的社会调查。犯罪嫌疑人认罪认罚，可能判处管制、宣告缓刑的，公安机关可以委托犯罪嫌疑人居住地的社区矫正机构进行调查评估。</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公安机关在侦查阶段委托社区矫正机构进行调查评估，社区矫正机构在公安机关移送审查起诉后完成调查评估的，应当及时将评估意见提交受理案件的人民检察院或者人民法院，并抄送公安机关。</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36．审查起诉阶段的社会调查。犯罪嫌疑人认罪认罚，人民检察院拟提出缓刑或者管制量刑建议的，可以及时委托犯罪嫌疑人居住地的社区矫正机构进行调查评估，也可以自行调查评估。人民检察院提起公诉时，已收到调查材料的，应当将材料一并移送，未收到调查材料的，应当将委托文书随案移送；在提起公诉后收到调查材料的，应当及时移送人民法院。</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37．审判阶段的社会调查。被告人认罪认罚，人民法院拟判处管制或者宣告缓刑的，可以及时委托被告人居住地的社区矫正机构进行调查评估，也可以自行调查评估。</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社区矫正机构出具的调查评估意见，是人民法院判处管制、宣告缓刑的重要参考。对没有委托社区矫正机构进行调查评估或者判决前未收到社区矫正机构调查评估报告的认罪认罚案件，人民法院经审理认为被告人符合管制、缓刑适用条件的，可以判处管制、宣告缓刑。</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38．司法行政机关的职责。受委托的社区矫正机构应当根据委托机关的要求，对犯罪嫌疑人、被告人的居所情况、家庭和社会关系、一贯表现、犯罪行为的后果和影响、居住地村（居）民委员会和被害人意见、拟禁止的事项等进行调查了解，形成评估意见，及时提交委托机关。</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十、审判程序和人民法院的职责</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39．审判阶段认罪认罚自愿性、合法性审查。办理认罪认罚案件，人民法院应当告知被告人享有的诉讼权利和认罪认罚的法律规定，听取被告人及其辩护人或者值班律师的意见。庭审中应当对认罪认罚的自愿性、具结书内容的真实性和合法性进行审查核实，重点核实以下内容：</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（一）被告人是否自愿认罪认罚，有无因受到暴力、威胁、引诱而违背意愿认罪认罚；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（二）被告人认罪认罚时的认知能力和精神状态是否正常；</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（三）被告人是否理解认罪认罚的性质和可能导致的法律后果；</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（四）人民检察院、公安机关是否履行告知义务并听取意见；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（五）值班律师或者辩护人是否与人民检察院进行沟通，提供了有效法律帮助或者辩护，并在场见证认罪认罚具结书的签署。</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庭审中审判人员可以根据具体案情，围绕定罪量刑的关键事实，对被告人认罪认罚的自愿性、真实性等进行发问，确认被告人是否实施犯罪，是否真诚悔罪。</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被告人违背意愿认罪认罚，或者认罪认罚后又反悔，依法需要转换程序的，应当按照普通程序对案件重新审理。发现存在刑讯逼供等非法取证行为的，依照法律规定处理。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40．量刑建议的采纳。对于人民检察院提出的量刑建议，人民法院应当依法进行审查。对于事实清楚，证据确实、充分，指控的罪名准确，量刑建议适当的，人民法院应当采纳。具有下列情形之一的，不予采纳：</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（一）被告人的行为不构成犯罪或者不应当追究刑事责任的；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（二）被告人违背意愿认罪认罚的；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（三）被告人否认指控的犯罪事实的；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（四）起诉指控的罪名与审理认定的罪名不一致的；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（五）其他可能影响公正审判的情形。</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对于人民检察院起诉指控的事实清楚，量刑建议适当，但指控的罪名与审理认定的罪名不一致的，人民法院可以听取人民检察院、被告人及其辩护人对审理认定罪名的意见，依法作出裁判。</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人民法院不采纳人民检察院量刑建议的，应当说明理由和依据。</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41．量刑建议的调整。人民法院经审理，认为量刑建议明显不当，或者被告人、辩护人对量刑建议有异议且有理有据的，人民法院应当告知人民检察院，人民检察院可以调整量刑建议。人民法院认为调整后的量刑建议适当的，应当予以采纳；人民检察院不调整量刑建议或者调整后仍然明显不当的，人民法院应当依法作出判决。</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适用速裁程序审理的，人民检察院调整量刑建议应当在庭前或者当庭提出。调整量刑建议后，被告人同意继续适用速裁程序的，不需要转换程序处理。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42．速裁程序的适用条件。基层人民法院管辖的可能判处三年有期徒刑以下刑罚的案件，案件事实清楚，证据确实、充分，被告人认罪认罚并同意适用速裁程序的，可以适用速裁程序，由审判员一人独任审判。人民检察院提起公诉时，可以建议人民法院适用速裁程序。</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有下列情形之一的，不适用速裁程序办理：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（一）被告人是盲、聋、哑人，或者是尚未完全丧失辨认或者控制自己行为能力的精神病人的；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（二）被告人是未成年人的；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（三）案件有重大社会影响的；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（四）共同犯罪案件中部分被告人对指控的犯罪事实、罪名、量刑建议或者适用速裁程序有异议的；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（五）被告人与被害人或者其法定代理人没有就附带民事诉讼赔偿等事项达成调解或者和解协议的；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（六）其他不宜适用速裁程序办理的案件。</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43．速裁程序的审理期限。适用速裁程序审理案件，人民法院应当在受理后十日以内审结；对可能判处的有期徒刑超过一年的，应当在十五日以内审结。</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44．速裁案件的审理程序。适用速裁程序审理案件，不受刑事诉讼法规定的送达期限的限制，一般不进行法庭调查、法庭辩论，但在判决宣告前应当听取辩护人的意见和被告人的最后陈述意见。</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人民法院适用速裁程序审理案件，可以在向被告人送达起诉书时一并送达权利义务告知书、开庭传票，并核实被告人自然信息等情况。根据需要，可以集中送达。</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人民法院适用速裁程序审理案件，可以集中开庭，逐案审理。人民检察院可以指派公诉人集中出庭支持公诉。公诉人简要宣读起诉书后，审判人员应当当庭询问被告人对指控事实、证据、量刑建议以及适用速裁程序的意见，核实具结书签署的自愿性、真实性、合法性，并核实附带民事诉讼赔偿等情况。</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适用速裁程序审理案件，应当当庭宣判。集中审理的，可以集中当庭宣判。宣判时，根据案件需要，可以由审判员进行法庭教育。裁判文书可以简化。</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45．速裁案件的二审程序。被告人不服适用速裁程序作出的第一审判决提出上诉的案件，可以不开庭审理。第二审人民法院审查后，按照下列情形分别处理：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（一）发现被告人以事实不清、证据不足为由提出上诉的，应当裁定撤销原判，发回原审人民法院适用普通程序重新审理，不再按认罪认罚案件从宽处罚；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（二）发现被告人以量刑不当为由提出上诉的，原判量刑适当的，应当裁定驳回上诉，维持原判；原判量刑不当的，经审理后依法改判。</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46．简易程序的适用。基层人民法院管辖的被告人认罪认罚案件，事实清楚、证据充分，被告人对适用简易程序没有异议的，可以适用简易程序审判。</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适用简易程序审理认罪认罚案件，公诉人可以简要宣读起诉书，审判人员当庭询问被告人对指控的犯罪事实、证据、量刑建议及适用简易程序的意见，核实具结书签署的自愿性、真实性、合法性。法庭调查可以简化，但对有争议的事实</w:t>
      </w:r>
      <w:r>
        <w:rPr>
          <w:rFonts w:ascii="微软雅黑" w:eastAsia="微软雅黑" w:hAnsi="微软雅黑" w:hint="eastAsia"/>
          <w:color w:val="333333"/>
        </w:rPr>
        <w:lastRenderedPageBreak/>
        <w:t>和证据应当进行调查、质证，法庭辩论可以仅围绕有争议的问题进行。裁判文书可以简化。</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47．普通程序的适用。适用普通程序办理认罪认罚案件，可以适当简化法庭调查、辩论程序。公诉人宣读起诉书后，合议庭当庭询问被告人对指控的犯罪事实、证据及量刑建议的意见，核实具结书签署的自愿性、真实性、合法性。公诉人、辩护人、审判人员对被告人的讯问、发问可以简化。对控辩双方无异议的证据，可以仅就证据名称及证明内容进行说明；对控辩双方有异议，或者法庭认为有必要调查核实的证据，应当出示并进行质证。法庭辩论主要围绕有争议的问题进行，裁判文书可以适当简化。</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48．程序转换。人民法院在适用速裁程序审理过程中，发现有被告人的行为不构成犯罪或者不应当追究刑事责任、被告人违背意愿认罪认罚、被告人否认指控的犯罪事实情形的，应当转为普通程序审理。发现其他不宜适用速裁程序但符合简易程序适用条件的，应当转为简易程序重新审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发现有不宜适用简易程序审理情形的，应当转为普通程序审理。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人民检察院在人民法院适用速裁程序审理案件过程中，发现有不宜适用速裁程序审理情形的，应当建议人民法院转为普通程序或者简易程序重新审理；发现有不宜适用简易程序审理情形的，应当建议人民法院转为普通程序重新审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49．被告人当庭认罪认罚案件的处理。被告人在侦查、审查起诉阶段没有认罪认罚，但当庭认罪，愿意接受处罚的，人民法院应当根据审理查明的事实，就定罪和量刑听取控辩双方意见，依法作出裁判。</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50．第二审程序中被告人认罪认罚案件的处理。被告人在第一审程序中未认罪认罚，在第二审程序中认罪认罚的，审理程序依照刑事诉讼法规定的第二审程序进行。第二审人民法院应当根据其认罪认罚的价值、作用决定是否从宽，并依法作出裁判。确定从宽幅度时应当与第一审程序认罪认罚有所区别。</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十一、认罪认罚的反悔和撤回</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51．不起诉后反悔的处理。因犯罪嫌疑人认罪认罚，人民检察院依照刑事诉讼法第一百七十七条第二款作出不起诉决定后，犯罪嫌疑人否认指控的犯罪事实或者不积极履行赔礼道歉、退赃退赔、赔偿损失等义务的，人民检察院应当进行审查，区分下列情形依法作出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（一）发现犯罪嫌疑人没有犯罪事实，或者符合刑事诉讼法第十六条规定的情形之一的，应当撤销原不起诉决定，依法重新作出不起诉决定；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（二）认为犯罪嫌疑人仍属于犯罪情节轻微，依照刑法规定不需要判处刑罚或者免除刑罚的，可以维持原不起诉决定；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（三）排除认罪认罚因素后，符合起诉条件的，应当根据案件具体情况撤销原不起诉决定，依法提起公诉。</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52．起诉前反悔的处理。犯罪嫌疑人认罪认罚，签署认罪认罚具结书，在人民检察院提起公诉前反悔的，具结书失效，人民检察院应当在全面审查事实证据的基础上，依法提起公诉。</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53．审判阶段反悔的处理。案件审理过程中，被告人反悔不再认罪认罚的，人民法院应当根据审理查明的事实，依法作出裁判。需要转换程序的，依照本意见的相关规定处理。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54．人民检察院的法律监督。完善人民检察院对侦查活动和刑事审判活动的监督机制，加强对认罪认罚案件办理全过程的监督，规范认罪认罚案件的抗诉工作，确保无罪的人不受刑事追究、有罪的人受到公正处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十二、未成年人认罪认罚案件的办理</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55．听取意见。人民法院、人民检察院办理未成年人认罪认罚案件，应当听取未成年犯罪嫌疑人、被告人的法定代理人的意见，法定代理人无法到场的，应当听取合适成年人的意见，但受案时犯罪嫌疑人已经成年的除外。</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56．具结书签署。未成年犯罪嫌疑人签署认罪认罚具结书时，其法定代理人应当到场并签字确认。法定代理人无法到场的，合适成年人应当到场签字确认。法定代理人、辩护人对未成年人认罪认罚有异议的，不需要签署认罪认罚具结书。</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57．程序适用。未成年人认罪认罚案件，不适用速裁程序，但应当贯彻教育、感化、挽救的方针，坚持从快从宽原则，确保案件及时办理，最大限度保护未成年人合法权益。</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lastRenderedPageBreak/>
        <w:t>58．法治教育。办理未成年人认罪认罚案件，应当做好未成年犯罪嫌疑人、被告人的认罪服法、悔过教育工作，实现惩教结合目的。</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b/>
          <w:bCs/>
          <w:color w:val="333333"/>
        </w:rPr>
        <w:t>十三、附则</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59．国家安全机关、军队保卫部门、中国海警局、监狱办理刑事案件，适用本意见的有关规定。</w:t>
      </w:r>
    </w:p>
    <w:p w:rsidR="00544468" w:rsidRDefault="00544468" w:rsidP="00544468">
      <w:pPr>
        <w:pStyle w:val="a3"/>
        <w:shd w:val="clear" w:color="auto" w:fill="FFFFFF"/>
        <w:spacing w:after="360" w:afterAutospacing="0"/>
        <w:ind w:firstLine="480"/>
        <w:rPr>
          <w:rFonts w:ascii="微软雅黑" w:eastAsia="微软雅黑" w:hAnsi="微软雅黑"/>
          <w:color w:val="333333"/>
        </w:rPr>
      </w:pPr>
      <w:r>
        <w:rPr>
          <w:rFonts w:ascii="微软雅黑" w:eastAsia="微软雅黑" w:hAnsi="微软雅黑" w:hint="eastAsia"/>
          <w:color w:val="333333"/>
        </w:rPr>
        <w:t>60．本指导意见由会签单位协商解释，自发布之日起施行。</w:t>
      </w:r>
    </w:p>
    <w:p w:rsidR="00A37F1B" w:rsidRDefault="00A37F1B"/>
    <w:sectPr w:rsidR="00A37F1B" w:rsidSect="002912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3D0" w:rsidRDefault="006D33D0" w:rsidP="002D516C">
      <w:r>
        <w:separator/>
      </w:r>
    </w:p>
  </w:endnote>
  <w:endnote w:type="continuationSeparator" w:id="1">
    <w:p w:rsidR="006D33D0" w:rsidRDefault="006D33D0" w:rsidP="002D516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3D0" w:rsidRDefault="006D33D0" w:rsidP="002D516C">
      <w:r>
        <w:separator/>
      </w:r>
    </w:p>
  </w:footnote>
  <w:footnote w:type="continuationSeparator" w:id="1">
    <w:p w:rsidR="006D33D0" w:rsidRDefault="006D33D0" w:rsidP="002D51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72BD"/>
    <w:rsid w:val="000F72BD"/>
    <w:rsid w:val="00291206"/>
    <w:rsid w:val="002D516C"/>
    <w:rsid w:val="00544468"/>
    <w:rsid w:val="006D33D0"/>
    <w:rsid w:val="00892D5B"/>
    <w:rsid w:val="00A3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46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D5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D516C"/>
    <w:rPr>
      <w:sz w:val="18"/>
      <w:szCs w:val="18"/>
    </w:rPr>
  </w:style>
  <w:style w:type="paragraph" w:styleId="a5">
    <w:name w:val="footer"/>
    <w:basedOn w:val="a"/>
    <w:link w:val="Char0"/>
    <w:uiPriority w:val="99"/>
    <w:semiHidden/>
    <w:unhideWhenUsed/>
    <w:rsid w:val="002D516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D516C"/>
    <w:rPr>
      <w:sz w:val="18"/>
      <w:szCs w:val="18"/>
    </w:rPr>
  </w:style>
</w:styles>
</file>

<file path=word/webSettings.xml><?xml version="1.0" encoding="utf-8"?>
<w:webSettings xmlns:r="http://schemas.openxmlformats.org/officeDocument/2006/relationships" xmlns:w="http://schemas.openxmlformats.org/wordprocessingml/2006/main">
  <w:divs>
    <w:div w:id="20880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1914</Words>
  <Characters>10912</Characters>
  <Application>Microsoft Office Word</Application>
  <DocSecurity>0</DocSecurity>
  <Lines>90</Lines>
  <Paragraphs>25</Paragraphs>
  <ScaleCrop>false</ScaleCrop>
  <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张元金</cp:lastModifiedBy>
  <cp:revision>3</cp:revision>
  <dcterms:created xsi:type="dcterms:W3CDTF">2020-05-14T02:23:00Z</dcterms:created>
  <dcterms:modified xsi:type="dcterms:W3CDTF">2020-06-10T02:04:00Z</dcterms:modified>
</cp:coreProperties>
</file>